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FD" w:rsidRPr="005640FD" w:rsidRDefault="005640FD" w:rsidP="005640FD">
      <w:pPr>
        <w:spacing w:before="180" w:after="180" w:line="420" w:lineRule="atLeast"/>
        <w:textAlignment w:val="baseline"/>
        <w:outlineLvl w:val="0"/>
        <w:rPr>
          <w:rFonts w:ascii="inherit" w:eastAsia="Times New Roman" w:hAnsi="inherit" w:cs="Helvetica"/>
          <w:b/>
          <w:bCs/>
          <w:color w:val="555555"/>
          <w:kern w:val="36"/>
          <w:sz w:val="39"/>
          <w:szCs w:val="39"/>
          <w:lang w:eastAsia="it-IT"/>
        </w:rPr>
      </w:pPr>
      <w:r w:rsidRPr="005640FD">
        <w:rPr>
          <w:rFonts w:ascii="inherit" w:eastAsia="Times New Roman" w:hAnsi="inherit" w:cs="Helvetica"/>
          <w:b/>
          <w:bCs/>
          <w:color w:val="555555"/>
          <w:kern w:val="36"/>
          <w:sz w:val="39"/>
          <w:szCs w:val="39"/>
          <w:lang w:eastAsia="it-IT"/>
        </w:rPr>
        <w:t>Notizie</w:t>
      </w:r>
    </w:p>
    <w:p w:rsidR="005640FD" w:rsidRPr="005640FD" w:rsidRDefault="002F0BB4" w:rsidP="005640FD">
      <w:pPr>
        <w:spacing w:before="180" w:after="180" w:line="360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555555"/>
          <w:sz w:val="33"/>
          <w:szCs w:val="33"/>
          <w:lang w:eastAsia="it-IT"/>
        </w:rPr>
      </w:pPr>
      <w:r>
        <w:rPr>
          <w:rFonts w:ascii="inherit" w:eastAsia="Times New Roman" w:hAnsi="inherit" w:cs="Helvetica"/>
          <w:b/>
          <w:bCs/>
          <w:color w:val="555555"/>
          <w:sz w:val="33"/>
          <w:szCs w:val="33"/>
          <w:lang w:eastAsia="it-IT"/>
        </w:rPr>
        <w:t>Avviso bonus idrico 2017</w:t>
      </w:r>
    </w:p>
    <w:p w:rsidR="005640FD" w:rsidRPr="005640FD" w:rsidRDefault="005640FD" w:rsidP="005640FD">
      <w:p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noProof/>
          <w:color w:val="555555"/>
          <w:sz w:val="20"/>
          <w:szCs w:val="20"/>
          <w:lang w:eastAsia="it-IT"/>
        </w:rPr>
        <w:drawing>
          <wp:inline distT="0" distB="0" distL="0" distR="0">
            <wp:extent cx="1714500" cy="1162050"/>
            <wp:effectExtent l="19050" t="0" r="0" b="0"/>
            <wp:docPr id="3" name="Immagine 3" descr="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q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B4" w:rsidRDefault="005640FD" w:rsidP="00247C56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</w:pPr>
      <w:r w:rsidRPr="005640FD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Si informano gli interessati che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, </w:t>
      </w:r>
      <w:r w:rsidRPr="005640FD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con deliberazione n. 44 del 4 Ottobre 2018, </w:t>
      </w:r>
      <w:r w:rsidR="002F0BB4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il Comitato Istituzionale d’Ambito della Sardegna</w:t>
      </w:r>
      <w:r w:rsidR="00951E89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E024F9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–</w:t>
      </w:r>
      <w:r w:rsidR="0046391B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EGAS</w:t>
      </w:r>
      <w:r w:rsidR="00E024F9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46391B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- 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ha approvato il nuovo regolamento per l’attuazione delle agevolazioni tariffarie a carattere sociale dell’</w:t>
      </w:r>
      <w:r w:rsidR="008708B7" w:rsidRPr="00450456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annualità 2017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(</w:t>
      </w:r>
      <w:r w:rsidR="0046391B" w:rsidRPr="00450456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Bonus Idrico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). Rispetto alle annualità precedenti sono state apportate alcune importanti modifiche che </w:t>
      </w:r>
      <w:r w:rsidR="002F0BB4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consentono di elevare l’importo erogabile e </w:t>
      </w:r>
      <w:r w:rsidR="00450456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di </w:t>
      </w:r>
      <w:r w:rsidR="00450456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estendere </w:t>
      </w:r>
      <w:r w:rsidR="002F0BB4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il beneficio ad una più ampia vasta fascia di persone, </w:t>
      </w:r>
      <w:r w:rsidR="002F0BB4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venendo incontro, in questo particolare periodo di crisi, a tante altre famiglie che nelle scorse annualità non hanno</w:t>
      </w:r>
      <w:r w:rsidR="00450456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potuto beneficiare del Bonus, </w:t>
      </w:r>
      <w:r w:rsidR="002F0BB4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onde consentire loro di avere uno sconto medio s</w:t>
      </w:r>
      <w:r w:rsidR="00450456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ulla bolletta idrica </w:t>
      </w:r>
      <w:r w:rsidR="002F0BB4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pari a circa il 50%.</w:t>
      </w:r>
    </w:p>
    <w:p w:rsidR="002F0BB4" w:rsidRDefault="002F0BB4" w:rsidP="00247C56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Nello specifico è previsto un beneficio di:</w:t>
      </w:r>
    </w:p>
    <w:p w:rsidR="002F0BB4" w:rsidRPr="002F0BB4" w:rsidRDefault="002F0BB4" w:rsidP="002F0BB4">
      <w:pPr>
        <w:pStyle w:val="Paragrafoelenco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</w:pPr>
      <w:r w:rsidRPr="002F0BB4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€ 60,00 per ogni componente del nucleo familiare, in presenza di un indicatore ISEE minore o uguale a € 9.000,00;</w:t>
      </w:r>
    </w:p>
    <w:p w:rsidR="002F0BB4" w:rsidRDefault="002F0BB4" w:rsidP="002F0BB4">
      <w:pPr>
        <w:pStyle w:val="Paragrafoelenco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</w:pPr>
      <w:r w:rsidRPr="002F0BB4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€ 40,00 per ogni componente del nucleo familiare in presenza di un indicatore ISEE maggiore di € 9.000,</w:t>
      </w:r>
      <w:r w:rsidR="0071304D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00 e minore o uguale a € 20.000,00</w:t>
      </w:r>
    </w:p>
    <w:p w:rsidR="0046391B" w:rsidRDefault="0046391B" w:rsidP="0046391B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</w:pPr>
      <w:r w:rsidRPr="0046391B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In ogni caso, l’importo complessivo dell’</w:t>
      </w: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agevolazione no</w:t>
      </w:r>
      <w:r w:rsidRPr="0046391B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n potrà</w:t>
      </w: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eccedere il valore della spesa idrica relativa all’anno 2017 al netto di eventuali ulteriori contributi assegnati.</w:t>
      </w:r>
    </w:p>
    <w:p w:rsidR="0046391B" w:rsidRDefault="0046391B" w:rsidP="0046391B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L’agevolazione viene corrisposta in un documento contabile ad hoc emesso da </w:t>
      </w:r>
      <w:proofErr w:type="spellStart"/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Abbanoa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che genera un credito per il Cliente, proporzionale al numero di componenti il nucleo familiare. Se il Cliente ha pagato regolarmente, il credito spettante verrà riconosciuto per le</w:t>
      </w:r>
      <w:r w:rsidR="00450456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bollette di prossima emissione.</w:t>
      </w: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Se il Cliente è moroso, il credito viene compensato automaticamente con gli importi insoluti delle fatture.</w:t>
      </w:r>
    </w:p>
    <w:p w:rsidR="0046391B" w:rsidRPr="0046391B" w:rsidRDefault="0046391B" w:rsidP="0046391B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Nel caso in cui l’importo della morosità sia inferiore all’importo dell’agevolazione riconosciuta l’eventuale eccedenza comporterà un accredito nelle successive fatture consumi per la quota corrispondente.</w:t>
      </w:r>
    </w:p>
    <w:p w:rsidR="002F0BB4" w:rsidRDefault="005640FD" w:rsidP="00247C56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</w:pPr>
      <w:r w:rsidRPr="005640FD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br/>
      </w:r>
      <w:r w:rsidRPr="005640FD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La richiesta</w:t>
      </w:r>
      <w:r w:rsidR="00B767A5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, da compilare mediante allegato modulo di domanda, </w:t>
      </w:r>
      <w:r w:rsidRPr="005640FD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va presentata</w:t>
      </w:r>
      <w:r w:rsidR="00082E4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082E47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all’Ufficio Protocollo</w:t>
      </w:r>
      <w:r w:rsidR="00082E4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del Comune </w:t>
      </w:r>
      <w:r w:rsidR="00082E47" w:rsidRP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di  </w:t>
      </w:r>
      <w:proofErr w:type="spellStart"/>
      <w:r w:rsidR="00082E47" w:rsidRP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Sardara</w:t>
      </w:r>
      <w:proofErr w:type="spellEnd"/>
      <w:r w:rsidR="00082E4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Pr="005640FD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2F0BB4" w:rsidRPr="002F0BB4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entro e non oltre il </w:t>
      </w:r>
      <w:r w:rsidR="007655DF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20 GENNAIO 2019</w:t>
      </w:r>
      <w:r w:rsidR="002F0BB4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247C56" w:rsidRPr="008708B7" w:rsidRDefault="00247C56" w:rsidP="008708B7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La </w:t>
      </w:r>
      <w:r w:rsidR="005640FD" w:rsidRPr="005640FD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modulistica da </w:t>
      </w:r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utilizzare è disponibile</w:t>
      </w:r>
      <w:r w:rsidR="00C00F1C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presso 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lo </w:t>
      </w:r>
      <w:r w:rsidR="008708B7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sportello </w:t>
      </w:r>
      <w:proofErr w:type="spellStart"/>
      <w:r w:rsidR="008708B7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Informacittadino</w:t>
      </w:r>
      <w:proofErr w:type="spellEnd"/>
      <w:r w:rsidR="00B317D5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B317D5" w:rsidRPr="00B317D5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del</w:t>
      </w:r>
      <w:r w:rsidR="00B317D5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Centro di Aggregazione sociale di Via Orista</w:t>
      </w:r>
      <w:r w:rsidR="00B767A5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no</w:t>
      </w:r>
      <w:r w:rsidR="00B317D5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, 59, </w:t>
      </w:r>
      <w:r w:rsidR="008708B7" w:rsidRP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aperto nei giorni di l</w:t>
      </w:r>
      <w:r w:rsidR="008708B7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unedì e</w:t>
      </w:r>
      <w:r w:rsid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 mercoledì </w:t>
      </w:r>
      <w:r w:rsidR="008708B7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dalle 15.45 alle 18.</w:t>
      </w:r>
      <w:r w:rsidR="00B317D5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45</w:t>
      </w:r>
      <w:r w:rsidR="008708B7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 e il venerd</w:t>
      </w:r>
      <w:r w:rsid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ì</w:t>
      </w:r>
      <w:r w:rsidR="008708B7" w:rsidRPr="008708B7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 xml:space="preserve"> dalle ore 10.00 alle ore 13.00</w:t>
      </w:r>
      <w:r w:rsidR="00B317D5">
        <w:rPr>
          <w:rFonts w:ascii="Helvetica" w:eastAsia="Times New Roman" w:hAnsi="Helvetica" w:cs="Helvetica"/>
          <w:b/>
          <w:color w:val="555555"/>
          <w:sz w:val="24"/>
          <w:szCs w:val="24"/>
          <w:bdr w:val="none" w:sz="0" w:space="0" w:color="auto" w:frame="1"/>
          <w:lang w:eastAsia="it-IT"/>
        </w:rPr>
        <w:t>,</w:t>
      </w:r>
      <w:r w:rsidR="008708B7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r w:rsidR="00C00F1C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oppure scaricabile </w:t>
      </w:r>
      <w:r w:rsidR="005640FD" w:rsidRPr="005640FD"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>al seguente </w:t>
      </w:r>
      <w:hyperlink r:id="rId6" w:tgtFrame="_blank" w:history="1">
        <w:r w:rsidR="005640FD" w:rsidRPr="005640FD">
          <w:rPr>
            <w:rFonts w:ascii="Helvetica" w:eastAsia="Times New Roman" w:hAnsi="Helvetica" w:cs="Helvetica"/>
            <w:color w:val="0088CC"/>
            <w:sz w:val="24"/>
            <w:szCs w:val="24"/>
            <w:lang w:eastAsia="it-IT"/>
          </w:rPr>
          <w:t>link</w:t>
        </w:r>
      </w:hyperlink>
      <w:r>
        <w:rPr>
          <w:rFonts w:ascii="Helvetica" w:eastAsia="Times New Roman" w:hAnsi="Helvetica" w:cs="Helvetica"/>
          <w:color w:val="555555"/>
          <w:sz w:val="24"/>
          <w:szCs w:val="24"/>
          <w:bdr w:val="none" w:sz="0" w:space="0" w:color="auto" w:frame="1"/>
          <w:lang w:eastAsia="it-IT"/>
        </w:rPr>
        <w:t xml:space="preserve">. </w:t>
      </w:r>
    </w:p>
    <w:p w:rsidR="008708B7" w:rsidRDefault="00247C56" w:rsidP="00EA1EBD">
      <w:pPr>
        <w:spacing w:after="0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ab/>
      </w:r>
      <w:r w:rsidRPr="008708B7"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 xml:space="preserve">                                </w:t>
      </w:r>
    </w:p>
    <w:p w:rsidR="00247C56" w:rsidRPr="008708B7" w:rsidRDefault="008708B7" w:rsidP="00EA1EBD">
      <w:pPr>
        <w:spacing w:after="0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ab/>
        <w:t xml:space="preserve">      </w:t>
      </w:r>
      <w:r w:rsidR="00247C56" w:rsidRPr="008708B7"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  <w:t xml:space="preserve">  IL RESPONSABILE DEL SERVIZIO</w:t>
      </w:r>
    </w:p>
    <w:p w:rsidR="00247C56" w:rsidRPr="008708B7" w:rsidRDefault="00247C56" w:rsidP="00EA1EBD">
      <w:pPr>
        <w:spacing w:after="0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                                                                                      </w:t>
      </w:r>
      <w:r w:rsidRPr="008708B7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Dr.ssa Lucia SULCIS</w:t>
      </w:r>
    </w:p>
    <w:p w:rsidR="00951E89" w:rsidRPr="00951E89" w:rsidRDefault="00951E8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  <w:r w:rsidRPr="00951E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Allegati:</w:t>
      </w:r>
    </w:p>
    <w:p w:rsidR="004D6AF7" w:rsidRPr="00951E89" w:rsidRDefault="004D6AF7" w:rsidP="004D6AF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  <w:r w:rsidRPr="00951E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Modulo di domanda</w:t>
      </w:r>
    </w:p>
    <w:p w:rsidR="00951E89" w:rsidRPr="00951E89" w:rsidRDefault="00951E89" w:rsidP="00951E8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  <w:r w:rsidRPr="00951E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Delibera</w:t>
      </w:r>
      <w:r w:rsidR="004D6AF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 xml:space="preserve"> CIA</w:t>
      </w:r>
      <w:r w:rsidRPr="00951E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 xml:space="preserve"> n. 44 del 04</w:t>
      </w:r>
      <w:r w:rsidR="004D6AF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 xml:space="preserve">.10.2018 con relativo allegato </w:t>
      </w:r>
    </w:p>
    <w:p w:rsidR="004D6AF7" w:rsidRDefault="004D6AF7" w:rsidP="00951E8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it-IT"/>
        </w:rPr>
        <w:t>Determinazione n. 210 del 17.10.2018 e tabella allegata</w:t>
      </w:r>
    </w:p>
    <w:p w:rsidR="00951E89" w:rsidRDefault="00951E89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 xml:space="preserve">     </w:t>
      </w:r>
    </w:p>
    <w:p w:rsidR="00951E89" w:rsidRDefault="00951E89"/>
    <w:sectPr w:rsidR="00951E89" w:rsidSect="00DC7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661C"/>
    <w:multiLevelType w:val="hybridMultilevel"/>
    <w:tmpl w:val="2E748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52F59"/>
    <w:multiLevelType w:val="multilevel"/>
    <w:tmpl w:val="7F8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64857"/>
    <w:multiLevelType w:val="hybridMultilevel"/>
    <w:tmpl w:val="71BEE364"/>
    <w:lvl w:ilvl="0" w:tplc="5FA48E9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40FD"/>
    <w:rsid w:val="00082E47"/>
    <w:rsid w:val="001E21A8"/>
    <w:rsid w:val="001E228A"/>
    <w:rsid w:val="00247C56"/>
    <w:rsid w:val="002F0BB4"/>
    <w:rsid w:val="00312612"/>
    <w:rsid w:val="00450456"/>
    <w:rsid w:val="0046391B"/>
    <w:rsid w:val="00493CF8"/>
    <w:rsid w:val="004D6AF7"/>
    <w:rsid w:val="005640FD"/>
    <w:rsid w:val="0071304D"/>
    <w:rsid w:val="0075123E"/>
    <w:rsid w:val="007655DF"/>
    <w:rsid w:val="008708B7"/>
    <w:rsid w:val="008D10A3"/>
    <w:rsid w:val="00951E89"/>
    <w:rsid w:val="009669AE"/>
    <w:rsid w:val="00B317D5"/>
    <w:rsid w:val="00B767A5"/>
    <w:rsid w:val="00C00F1C"/>
    <w:rsid w:val="00D30332"/>
    <w:rsid w:val="00D31F9A"/>
    <w:rsid w:val="00DC7E4A"/>
    <w:rsid w:val="00E024F9"/>
    <w:rsid w:val="00EA1EBD"/>
    <w:rsid w:val="00F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E4A"/>
  </w:style>
  <w:style w:type="paragraph" w:styleId="Titolo1">
    <w:name w:val="heading 1"/>
    <w:basedOn w:val="Normale"/>
    <w:link w:val="Titolo1Carattere"/>
    <w:uiPriority w:val="9"/>
    <w:qFormat/>
    <w:rsid w:val="0056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64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0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40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40F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640F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tn">
    <w:name w:val="btn"/>
    <w:basedOn w:val="Carpredefinitoparagrafo"/>
    <w:rsid w:val="005640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0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0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billonis.vs.it/images/avvisi/2018/2018_bonus_idric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13</cp:revision>
  <cp:lastPrinted>2018-08-23T07:20:00Z</cp:lastPrinted>
  <dcterms:created xsi:type="dcterms:W3CDTF">2018-08-23T05:57:00Z</dcterms:created>
  <dcterms:modified xsi:type="dcterms:W3CDTF">2018-12-11T11:08:00Z</dcterms:modified>
</cp:coreProperties>
</file>